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3"/>
        <w:tblW w:w="508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84"/>
        <w:gridCol w:w="1739"/>
        <w:gridCol w:w="1553"/>
        <w:gridCol w:w="1931"/>
        <w:gridCol w:w="806"/>
        <w:gridCol w:w="809"/>
        <w:gridCol w:w="987"/>
        <w:gridCol w:w="987"/>
        <w:gridCol w:w="987"/>
        <w:gridCol w:w="988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186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-SA"/>
              </w:rPr>
              <w:t>全省农信系统服务县域商业体系建设情况监测表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填报单位：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填表日期：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联系人：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单位：户、%、万元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农商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银行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总数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主体户数</w:t>
            </w:r>
          </w:p>
        </w:tc>
        <w:tc>
          <w:tcPr>
            <w:tcW w:w="14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已走访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对接户数</w:t>
            </w:r>
          </w:p>
        </w:tc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有合理信贷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需求户数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信用建档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评级数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授信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户数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授信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额度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户数</w:t>
            </w:r>
          </w:p>
        </w:tc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余额</w:t>
            </w:r>
          </w:p>
        </w:tc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户数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占比</w:t>
            </w: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1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填报说明：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1.此表为季度报表，于每季首月5日前报送上季情况，请写明填报人及具体联系方式。                                                                                                          2.对无法取得联系、无实际经营、无建档评级意愿等不具备建档评级条件的主体，视为无合理信贷需求。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 xml:space="preserve">3.企业和农民合作社在实际经营中以个人经营为主的，以经营者个人为主体完成建档评级视同完成主体建档评级。授信额度指银行为主体提供的表内外授信总额。                                                                                                                                                                                      4.“信用建档评级户数”列填报截至统计期末累计建档评级情况，“占比”是指信用建档评级户数占有合理信贷需求户数的比重。                                                                                             5.项目实施主体为人民政府、村（居委会）、市场服务中心等行政部门或自治组织的，可将项目的实际实施主体纳入跟踪监测对象。                                                                                                                                                            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1F1856"/>
    <w:rsid w:val="66996FFB"/>
    <w:rsid w:val="7EEF9477"/>
    <w:rsid w:val="9F7C2716"/>
    <w:rsid w:val="EF1F1856"/>
    <w:rsid w:val="F5FFA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2024-05-27T08:45:00Z</dcterms:created>
  <dc:creator>湘之说 郑宇轩</dc:creator>
  <cp:lastModifiedBy>湘之说 郑宇轩</cp:lastModifiedBy>
  <dcterms:modified xsi:type="dcterms:W3CDTF">2024-05-27T08:47:46Z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